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E7" w:rsidRDefault="00C01EE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1EE7" w:rsidRDefault="00C01EE7">
      <w:pPr>
        <w:pStyle w:val="ConsPlusNormal"/>
        <w:jc w:val="both"/>
        <w:outlineLvl w:val="0"/>
      </w:pPr>
    </w:p>
    <w:p w:rsidR="00C01EE7" w:rsidRDefault="00C01EE7">
      <w:pPr>
        <w:pStyle w:val="ConsPlusTitle"/>
        <w:jc w:val="center"/>
      </w:pPr>
      <w:r>
        <w:t>ПРАВИТЕЛЬСТВО РОССИЙСКОЙ ФЕДЕРАЦИИ</w:t>
      </w:r>
    </w:p>
    <w:p w:rsidR="00C01EE7" w:rsidRDefault="00C01EE7">
      <w:pPr>
        <w:pStyle w:val="ConsPlusTitle"/>
        <w:jc w:val="center"/>
      </w:pPr>
    </w:p>
    <w:p w:rsidR="00C01EE7" w:rsidRDefault="00C01EE7">
      <w:pPr>
        <w:pStyle w:val="ConsPlusTitle"/>
        <w:jc w:val="center"/>
      </w:pPr>
      <w:r>
        <w:t>ПОСТАНОВЛЕНИЕ</w:t>
      </w:r>
    </w:p>
    <w:p w:rsidR="00C01EE7" w:rsidRDefault="00C01EE7">
      <w:pPr>
        <w:pStyle w:val="ConsPlusTitle"/>
        <w:jc w:val="center"/>
      </w:pPr>
      <w:r>
        <w:t>от 10 марта 2022 г. N 336</w:t>
      </w:r>
    </w:p>
    <w:p w:rsidR="00C01EE7" w:rsidRDefault="00C01EE7">
      <w:pPr>
        <w:pStyle w:val="ConsPlusTitle"/>
        <w:jc w:val="center"/>
      </w:pPr>
    </w:p>
    <w:p w:rsidR="00C01EE7" w:rsidRDefault="00C01EE7">
      <w:pPr>
        <w:pStyle w:val="ConsPlusTitle"/>
        <w:jc w:val="center"/>
      </w:pPr>
      <w:r>
        <w:t>ОБ ОСОБЕННОСТЯХ</w:t>
      </w:r>
    </w:p>
    <w:p w:rsidR="00C01EE7" w:rsidRDefault="00C01EE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C01EE7" w:rsidRDefault="00C01EE7">
      <w:pPr>
        <w:pStyle w:val="ConsPlusTitle"/>
        <w:jc w:val="center"/>
      </w:pPr>
      <w:r>
        <w:t>(НАДЗОРА), МУНИЦИПАЛЬНОГО КОНТРОЛЯ</w:t>
      </w: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случаев, указанных в </w:t>
      </w:r>
      <w:hyperlink w:anchor="P12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1" w:name="P12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lastRenderedPageBreak/>
        <w:t>родильные дома, перинатальные центры;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следующим основаниям: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</w:t>
      </w:r>
      <w:r>
        <w:lastRenderedPageBreak/>
        <w:t xml:space="preserve">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9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0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1" w:history="1">
        <w:r>
          <w:rPr>
            <w:color w:val="0000FF"/>
          </w:rPr>
          <w:t>3</w:t>
        </w:r>
      </w:hyperlink>
      <w:r>
        <w:t xml:space="preserve">, </w:t>
      </w:r>
      <w:hyperlink r:id="rId12" w:history="1">
        <w:r>
          <w:rPr>
            <w:color w:val="0000FF"/>
          </w:rPr>
          <w:t>5</w:t>
        </w:r>
      </w:hyperlink>
      <w:r>
        <w:t xml:space="preserve"> и </w:t>
      </w:r>
      <w:hyperlink r:id="rId13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4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54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2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3" w:name="P54"/>
      <w:bookmarkEnd w:id="3"/>
      <w:r>
        <w:t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8. Срок исполнения предписаний, выданных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57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17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jc w:val="right"/>
      </w:pPr>
      <w:r>
        <w:t>Председатель Правительства</w:t>
      </w:r>
    </w:p>
    <w:p w:rsidR="00C01EE7" w:rsidRDefault="00C01EE7">
      <w:pPr>
        <w:pStyle w:val="ConsPlusNormal"/>
        <w:jc w:val="right"/>
      </w:pPr>
      <w:r>
        <w:t>Российской Федерации</w:t>
      </w:r>
    </w:p>
    <w:p w:rsidR="00C01EE7" w:rsidRDefault="00C01EE7">
      <w:pPr>
        <w:pStyle w:val="ConsPlusNormal"/>
        <w:jc w:val="right"/>
      </w:pPr>
      <w:r>
        <w:t>М.МИШУСТИН</w:t>
      </w: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815" w:rsidRDefault="001F2815"/>
    <w:sectPr w:rsidR="001F2815" w:rsidSect="007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7"/>
    <w:rsid w:val="001F2815"/>
    <w:rsid w:val="004E2CB0"/>
    <w:rsid w:val="006630C0"/>
    <w:rsid w:val="007F0235"/>
    <w:rsid w:val="00C01EE7"/>
    <w:rsid w:val="00C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2C241-A544-48DD-9122-F8F714FA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72F5D751DEFBE6547ECEFB1491EE7E4A07BDEB7705745B231EE245CF53A30A8294152B62BD629C99B380B45F745B5A6E7505D72A95E6B4CaFL" TargetMode="External"/><Relationship Id="rId13" Type="http://schemas.openxmlformats.org/officeDocument/2006/relationships/hyperlink" Target="consultantplus://offline/ref=C9572F5D751DEFBE6547ECEFB1491EE7E3A973D6B7755745B231EE245CF53A30A8294157B328DC7F9DD4395700AA56B4ADE7525E6E4Aa9L" TargetMode="External"/><Relationship Id="rId18" Type="http://schemas.openxmlformats.org/officeDocument/2006/relationships/hyperlink" Target="consultantplus://offline/ref=C9572F5D751DEFBE6547ECEFB1491EE7E3A973DAB4765745B231EE245CF53A30A8294152B62BD323CD9B380B45F745B5A6E7505D72A95E6B4Ca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572F5D751DEFBE6547ECEFB1491EE7E4A07BDEB7705745B231EE245CF53A30A8294152B72FDC7F9DD4395700AA56B4ADE7525E6E4Aa9L" TargetMode="External"/><Relationship Id="rId7" Type="http://schemas.openxmlformats.org/officeDocument/2006/relationships/hyperlink" Target="consultantplus://offline/ref=C9572F5D751DEFBE6547ECEFB1491EE7E3A973DAB4765745B231EE245CF53A30A8294152B62BD029C49B380B45F745B5A6E7505D72A95E6B4CaFL" TargetMode="External"/><Relationship Id="rId12" Type="http://schemas.openxmlformats.org/officeDocument/2006/relationships/hyperlink" Target="consultantplus://offline/ref=C9572F5D751DEFBE6547ECEFB1491EE7E3A973D6B7755745B231EE245CF53A30A8294152B62BD429C59B380B45F745B5A6E7505D72A95E6B4CaFL" TargetMode="External"/><Relationship Id="rId17" Type="http://schemas.openxmlformats.org/officeDocument/2006/relationships/hyperlink" Target="consultantplus://offline/ref=C9572F5D751DEFBE6547ECEFB1491EE7E3A973DAB4765745B231EE245CF53A30A8294152B62AD72BCD9B380B45F745B5A6E7505D72A95E6B4Ca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572F5D751DEFBE6547ECEFB1491EE7E4A07BDEB7705745B231EE245CF53A30A8294151B02BDC7F9DD4395700AA56B4ADE7525E6E4Aa9L" TargetMode="External"/><Relationship Id="rId20" Type="http://schemas.openxmlformats.org/officeDocument/2006/relationships/hyperlink" Target="consultantplus://offline/ref=C9572F5D751DEFBE6547ECEFB1491EE7E3A973DAB4765745B231EE245CF53A30A8294152B62AD72FCD9B380B45F745B5A6E7505D72A95E6B4Ca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572F5D751DEFBE6547ECEFB1491EE7E4A07BDEB7705745B231EE245CF53A30A8294152B62BD62BCF9B380B45F745B5A6E7505D72A95E6B4CaFL" TargetMode="External"/><Relationship Id="rId11" Type="http://schemas.openxmlformats.org/officeDocument/2006/relationships/hyperlink" Target="consultantplus://offline/ref=C9572F5D751DEFBE6547ECEFB1491EE7E3A973D6B7755745B231EE245CF53A30A8294157B22FDC7F9DD4395700AA56B4ADE7525E6E4Aa9L" TargetMode="External"/><Relationship Id="rId5" Type="http://schemas.openxmlformats.org/officeDocument/2006/relationships/hyperlink" Target="consultantplus://offline/ref=C9572F5D751DEFBE6547ECEFB1491EE7E3A973DAB4765745B231EE245CF53A30A8294152B62BD12DC89B380B45F745B5A6E7505D72A95E6B4CaFL" TargetMode="External"/><Relationship Id="rId15" Type="http://schemas.openxmlformats.org/officeDocument/2006/relationships/hyperlink" Target="consultantplus://offline/ref=C9572F5D751DEFBE6547ECEFB1491EE7E3A973DAB4765745B231EE245CF53A30A8294152B62BDE22C59B380B45F745B5A6E7505D72A95E6B4CaF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9572F5D751DEFBE6547ECEFB1491EE7E3A973D6B7755745B231EE245CF53A30A8294152B62BD42DC49B380B45F745B5A6E7505D72A95E6B4CaFL" TargetMode="External"/><Relationship Id="rId19" Type="http://schemas.openxmlformats.org/officeDocument/2006/relationships/hyperlink" Target="consultantplus://offline/ref=C9572F5D751DEFBE6547ECEFB1491EE7E4A07BDEB7705745B231EE245CF53A30A8294150BE28DC7F9DD4395700AA56B4ADE7525E6E4Aa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9572F5D751DEFBE6547ECEFB1491EE7E3A973DAB4765745B231EE245CF53A30A8294152B62AD52EC89B380B45F745B5A6E7505D72A95E6B4CaFL" TargetMode="External"/><Relationship Id="rId14" Type="http://schemas.openxmlformats.org/officeDocument/2006/relationships/hyperlink" Target="consultantplus://offline/ref=C9572F5D751DEFBE6547ECEFB1491EE7E3A97BDBB3755745B231EE245CF53A30A8294154B220837A88C5615B09BC48B7B0FB505C46aE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Александр Владимирович</dc:creator>
  <cp:lastModifiedBy>INZHENER_LESA</cp:lastModifiedBy>
  <cp:revision>2</cp:revision>
  <dcterms:created xsi:type="dcterms:W3CDTF">2023-12-05T09:48:00Z</dcterms:created>
  <dcterms:modified xsi:type="dcterms:W3CDTF">2023-12-05T09:48:00Z</dcterms:modified>
</cp:coreProperties>
</file>