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D8" w:rsidRDefault="001C06D8" w:rsidP="001C06D8">
      <w:r>
        <w:t xml:space="preserve">Форма </w:t>
      </w:r>
      <w:r w:rsidRPr="001C06D8">
        <w:t>2</w:t>
      </w:r>
      <w:r>
        <w:t>.1. Общие сведения о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1"/>
        <w:gridCol w:w="1268"/>
        <w:gridCol w:w="3520"/>
        <w:gridCol w:w="2835"/>
      </w:tblGrid>
      <w:tr w:rsidR="001C06D8" w:rsidTr="00A254E5">
        <w:tc>
          <w:tcPr>
            <w:tcW w:w="627" w:type="dxa"/>
          </w:tcPr>
          <w:p w:rsidR="001C06D8" w:rsidRDefault="001C06D8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</w:tcPr>
          <w:p w:rsidR="001C06D8" w:rsidRDefault="001C06D8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1C06D8" w:rsidRDefault="001C06D8" w:rsidP="0025618E">
            <w:r>
              <w:t>Единица измерения</w:t>
            </w:r>
          </w:p>
        </w:tc>
        <w:tc>
          <w:tcPr>
            <w:tcW w:w="3520" w:type="dxa"/>
          </w:tcPr>
          <w:p w:rsidR="001C06D8" w:rsidRDefault="001C06D8" w:rsidP="0025618E">
            <w:r>
              <w:t>Наименование показателя</w:t>
            </w:r>
          </w:p>
        </w:tc>
        <w:tc>
          <w:tcPr>
            <w:tcW w:w="2835" w:type="dxa"/>
          </w:tcPr>
          <w:p w:rsidR="001C06D8" w:rsidRDefault="001C06D8" w:rsidP="0025618E">
            <w:r>
              <w:t>Информация</w:t>
            </w:r>
          </w:p>
        </w:tc>
      </w:tr>
      <w:tr w:rsidR="001C06D8" w:rsidTr="00A254E5">
        <w:tc>
          <w:tcPr>
            <w:tcW w:w="627" w:type="dxa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1C06D8" w:rsidRDefault="001C06D8" w:rsidP="0025618E">
            <w:r>
              <w:t>Дата заполнения</w:t>
            </w:r>
          </w:p>
        </w:tc>
        <w:tc>
          <w:tcPr>
            <w:tcW w:w="1268" w:type="dxa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/>
        </w:tc>
        <w:tc>
          <w:tcPr>
            <w:tcW w:w="2835" w:type="dxa"/>
          </w:tcPr>
          <w:p w:rsidR="001C06D8" w:rsidRDefault="00BC1938" w:rsidP="0025618E">
            <w:r>
              <w:t>23</w:t>
            </w:r>
            <w:r w:rsidR="001C06D8">
              <w:t>.11.2015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Документ, подтверждающий выбранный способ управления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Наименование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830674" w:rsidP="0025618E">
            <w:r>
              <w:t>Протокол общего собрания собственников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830674" w:rsidP="00156963">
            <w:r>
              <w:t>17.08.2014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  <w:jc w:val="both"/>
            </w:pPr>
            <w:r>
              <w:t>Номер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1C06D8" w:rsidP="0025618E">
            <w:r>
              <w:t>№1</w:t>
            </w:r>
          </w:p>
        </w:tc>
      </w:tr>
      <w:tr w:rsidR="001C06D8" w:rsidTr="00A254E5">
        <w:trPr>
          <w:trHeight w:val="77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Договор управления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заключения договора управления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7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начала управления домом</w:t>
            </w:r>
          </w:p>
        </w:tc>
        <w:tc>
          <w:tcPr>
            <w:tcW w:w="2835" w:type="dxa"/>
          </w:tcPr>
          <w:p w:rsidR="001C06D8" w:rsidRDefault="00830674" w:rsidP="0025618E">
            <w:r>
              <w:t>26.09.2014</w:t>
            </w:r>
          </w:p>
        </w:tc>
      </w:tr>
      <w:tr w:rsidR="001C06D8" w:rsidTr="00A254E5">
        <w:trPr>
          <w:trHeight w:val="7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Договор управления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76"/>
        </w:trPr>
        <w:tc>
          <w:tcPr>
            <w:tcW w:w="627" w:type="dxa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1C06D8" w:rsidRDefault="001C06D8" w:rsidP="0025618E">
            <w:r>
              <w:t>Способ формирования фонда капитального ремонта</w:t>
            </w:r>
          </w:p>
        </w:tc>
        <w:tc>
          <w:tcPr>
            <w:tcW w:w="1268" w:type="dxa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Способ формирования фонда капитального ремонта</w:t>
            </w:r>
          </w:p>
        </w:tc>
        <w:tc>
          <w:tcPr>
            <w:tcW w:w="2835" w:type="dxa"/>
          </w:tcPr>
          <w:p w:rsidR="001C06D8" w:rsidRDefault="001C06D8" w:rsidP="0025618E">
            <w:r>
              <w:t>Специальный счет</w:t>
            </w:r>
          </w:p>
        </w:tc>
      </w:tr>
      <w:tr w:rsidR="001C06D8" w:rsidTr="00A254E5">
        <w:trPr>
          <w:trHeight w:val="44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835" w:type="dxa"/>
          </w:tcPr>
          <w:p w:rsidR="001C06D8" w:rsidRDefault="001C06D8" w:rsidP="0025618E">
            <w:r>
              <w:t>Удмуртская Республика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835" w:type="dxa"/>
          </w:tcPr>
          <w:p w:rsidR="001C06D8" w:rsidRDefault="001C06D8" w:rsidP="0025618E">
            <w:r>
              <w:t>Сарапул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Улица</w:t>
            </w:r>
          </w:p>
        </w:tc>
        <w:tc>
          <w:tcPr>
            <w:tcW w:w="2835" w:type="dxa"/>
          </w:tcPr>
          <w:p w:rsidR="001C06D8" w:rsidRDefault="00830674" w:rsidP="0025618E">
            <w:r>
              <w:t>Трактовая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835" w:type="dxa"/>
          </w:tcPr>
          <w:p w:rsidR="001C06D8" w:rsidRDefault="00830674" w:rsidP="0025618E">
            <w:r>
              <w:t>1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Корпус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93574C" w:rsidTr="00A254E5">
        <w:trPr>
          <w:trHeight w:val="358"/>
        </w:trPr>
        <w:tc>
          <w:tcPr>
            <w:tcW w:w="627" w:type="dxa"/>
            <w:vMerge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3574C" w:rsidRDefault="0093574C" w:rsidP="0025618E"/>
        </w:tc>
        <w:tc>
          <w:tcPr>
            <w:tcW w:w="1268" w:type="dxa"/>
            <w:vMerge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Литера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5"/>
        </w:trPr>
        <w:tc>
          <w:tcPr>
            <w:tcW w:w="627" w:type="dxa"/>
            <w:vMerge w:val="restart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3574C" w:rsidRDefault="0093574C" w:rsidP="0025618E">
            <w:r>
              <w:t>Год постройки/Год ввода дома в эксплуатацию</w:t>
            </w:r>
          </w:p>
        </w:tc>
        <w:tc>
          <w:tcPr>
            <w:tcW w:w="1268" w:type="dxa"/>
            <w:vMerge w:val="restart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Год постройки</w:t>
            </w:r>
          </w:p>
        </w:tc>
        <w:tc>
          <w:tcPr>
            <w:tcW w:w="2835" w:type="dxa"/>
          </w:tcPr>
          <w:p w:rsidR="0093574C" w:rsidRDefault="00830674" w:rsidP="0025618E">
            <w:r>
              <w:t>1979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  <w:vMerge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3574C" w:rsidRDefault="0093574C" w:rsidP="0025618E"/>
        </w:tc>
        <w:tc>
          <w:tcPr>
            <w:tcW w:w="1268" w:type="dxa"/>
            <w:vMerge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Год ввода дома в эксплуатацию</w:t>
            </w:r>
          </w:p>
        </w:tc>
        <w:tc>
          <w:tcPr>
            <w:tcW w:w="2835" w:type="dxa"/>
          </w:tcPr>
          <w:p w:rsidR="0093574C" w:rsidRDefault="00830674" w:rsidP="0025618E">
            <w:r>
              <w:t>1979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Серия, тип постройки здания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Серия, тип постройки здания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Тип дома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Тип дома</w:t>
            </w:r>
          </w:p>
        </w:tc>
        <w:tc>
          <w:tcPr>
            <w:tcW w:w="2835" w:type="dxa"/>
          </w:tcPr>
          <w:p w:rsidR="0093574C" w:rsidRDefault="00830674" w:rsidP="0025618E">
            <w:r>
              <w:t>Многоквартирный дом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Количество этажей: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- наибольшее</w:t>
            </w:r>
          </w:p>
        </w:tc>
        <w:tc>
          <w:tcPr>
            <w:tcW w:w="1268" w:type="dxa"/>
          </w:tcPr>
          <w:p w:rsidR="0093574C" w:rsidRDefault="0093574C" w:rsidP="0025618E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этажей наибольшее</w:t>
            </w:r>
          </w:p>
        </w:tc>
        <w:tc>
          <w:tcPr>
            <w:tcW w:w="2835" w:type="dxa"/>
          </w:tcPr>
          <w:p w:rsidR="0093574C" w:rsidRDefault="00830674" w:rsidP="0025618E">
            <w:r>
              <w:t>3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наименьшее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этажей наименьшее</w:t>
            </w:r>
          </w:p>
        </w:tc>
        <w:tc>
          <w:tcPr>
            <w:tcW w:w="2835" w:type="dxa"/>
          </w:tcPr>
          <w:p w:rsidR="0093574C" w:rsidRDefault="00830674" w:rsidP="0025618E">
            <w:r>
              <w:t>3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подъездов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подъездов</w:t>
            </w:r>
          </w:p>
        </w:tc>
        <w:tc>
          <w:tcPr>
            <w:tcW w:w="2835" w:type="dxa"/>
          </w:tcPr>
          <w:p w:rsidR="0093574C" w:rsidRDefault="00830674" w:rsidP="0025618E">
            <w:r>
              <w:t>2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2835" w:type="dxa"/>
          </w:tcPr>
          <w:p w:rsidR="0093574C" w:rsidRDefault="00830674" w:rsidP="0025618E">
            <w:r>
              <w:t>0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помещений: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помещений:</w:t>
            </w:r>
          </w:p>
        </w:tc>
        <w:tc>
          <w:tcPr>
            <w:tcW w:w="2835" w:type="dxa"/>
          </w:tcPr>
          <w:p w:rsidR="0093574C" w:rsidRDefault="00830674" w:rsidP="0025618E">
            <w:r>
              <w:t>18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жилых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жилых помещений</w:t>
            </w:r>
          </w:p>
        </w:tc>
        <w:tc>
          <w:tcPr>
            <w:tcW w:w="2835" w:type="dxa"/>
          </w:tcPr>
          <w:p w:rsidR="0093574C" w:rsidRDefault="00830674" w:rsidP="0025618E">
            <w:r>
              <w:t>18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нежилых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нежилых помещений</w:t>
            </w:r>
          </w:p>
        </w:tc>
        <w:tc>
          <w:tcPr>
            <w:tcW w:w="2835" w:type="dxa"/>
          </w:tcPr>
          <w:p w:rsidR="0093574C" w:rsidRDefault="00830674" w:rsidP="0025618E">
            <w:r>
              <w:t>0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Общая площадь дома, в том числе: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дома</w:t>
            </w:r>
          </w:p>
        </w:tc>
        <w:tc>
          <w:tcPr>
            <w:tcW w:w="2835" w:type="dxa"/>
          </w:tcPr>
          <w:p w:rsidR="0093574C" w:rsidRDefault="00830674" w:rsidP="00830674">
            <w:r>
              <w:t>1128.0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общая площадь жилых помещений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жилых помещений</w:t>
            </w:r>
          </w:p>
        </w:tc>
        <w:tc>
          <w:tcPr>
            <w:tcW w:w="2835" w:type="dxa"/>
          </w:tcPr>
          <w:p w:rsidR="0093574C" w:rsidRDefault="00830674" w:rsidP="0025618E">
            <w:r>
              <w:t>1028.1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общая площадь нежилых помещений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нежилых помещений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 xml:space="preserve">- общая площадь </w:t>
            </w:r>
            <w:r>
              <w:lastRenderedPageBreak/>
              <w:t>помещений, входящих в состав общего имущества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 xml:space="preserve">Общая площадь помещений, </w:t>
            </w:r>
            <w:r>
              <w:lastRenderedPageBreak/>
              <w:t>входящих в состав общего имущества</w:t>
            </w:r>
          </w:p>
        </w:tc>
        <w:tc>
          <w:tcPr>
            <w:tcW w:w="2835" w:type="dxa"/>
          </w:tcPr>
          <w:p w:rsidR="0093574C" w:rsidRDefault="00830674" w:rsidP="0025618E">
            <w:r>
              <w:lastRenderedPageBreak/>
              <w:t>99.9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Кадастровый номер земельного участка, на котором расположен дом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Кадастровый номер земельного участка, на котором расположен дом</w:t>
            </w:r>
          </w:p>
        </w:tc>
        <w:tc>
          <w:tcPr>
            <w:tcW w:w="2835" w:type="dxa"/>
          </w:tcPr>
          <w:p w:rsid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835" w:type="dxa"/>
          </w:tcPr>
          <w:p w:rsidR="002B2E56" w:rsidRP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Площадь парковки в границах земельного участка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Площадь парковки в границах земельного участка</w:t>
            </w:r>
          </w:p>
        </w:tc>
        <w:tc>
          <w:tcPr>
            <w:tcW w:w="2835" w:type="dxa"/>
          </w:tcPr>
          <w:p w:rsidR="002B2E56" w:rsidRP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 xml:space="preserve">Факт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 xml:space="preserve">Факт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2835" w:type="dxa"/>
          </w:tcPr>
          <w:p w:rsidR="002B2E56" w:rsidRPr="002B2E56" w:rsidRDefault="00830674" w:rsidP="0025618E">
            <w:r>
              <w:t xml:space="preserve">Не </w:t>
            </w:r>
            <w:proofErr w:type="gramStart"/>
            <w:r>
              <w:t>признан</w:t>
            </w:r>
            <w:proofErr w:type="gramEnd"/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2835" w:type="dxa"/>
          </w:tcPr>
          <w:p w:rsidR="002B2E56" w:rsidRDefault="00830674" w:rsidP="0025618E">
            <w:r>
              <w:t>Не присвоен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835" w:type="dxa"/>
          </w:tcPr>
          <w:p w:rsid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Детская площадка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Детская площадка</w:t>
            </w:r>
          </w:p>
        </w:tc>
        <w:tc>
          <w:tcPr>
            <w:tcW w:w="2835" w:type="dxa"/>
          </w:tcPr>
          <w:p w:rsidR="002B2E56" w:rsidRDefault="00830674" w:rsidP="0025618E">
            <w:r>
              <w:t>Не имеется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Спортивная площадка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2835" w:type="dxa"/>
          </w:tcPr>
          <w:p w:rsidR="002B2E56" w:rsidRDefault="00830674" w:rsidP="0025618E">
            <w:r>
              <w:t>Совместное пользование детской площадкой с еще 5 домами</w:t>
            </w:r>
            <w:bookmarkStart w:id="0" w:name="_GoBack"/>
            <w:bookmarkEnd w:id="0"/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Другое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Другое</w:t>
            </w:r>
          </w:p>
        </w:tc>
        <w:tc>
          <w:tcPr>
            <w:tcW w:w="2835" w:type="dxa"/>
          </w:tcPr>
          <w:p w:rsidR="002B2E56" w:rsidRDefault="002B2E56" w:rsidP="0025618E"/>
        </w:tc>
      </w:tr>
    </w:tbl>
    <w:p w:rsidR="00C35361" w:rsidRPr="001C06D8" w:rsidRDefault="00C35361" w:rsidP="001C06D8"/>
    <w:sectPr w:rsidR="00C35361" w:rsidRPr="001C06D8" w:rsidSect="00A25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3DAF"/>
    <w:multiLevelType w:val="hybridMultilevel"/>
    <w:tmpl w:val="64D4A2D2"/>
    <w:lvl w:ilvl="0" w:tplc="E7263E5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D8"/>
    <w:rsid w:val="00156963"/>
    <w:rsid w:val="001C06D8"/>
    <w:rsid w:val="002B2E56"/>
    <w:rsid w:val="00830674"/>
    <w:rsid w:val="0093574C"/>
    <w:rsid w:val="00A254E5"/>
    <w:rsid w:val="00B71901"/>
    <w:rsid w:val="00BC1938"/>
    <w:rsid w:val="00C35361"/>
    <w:rsid w:val="00E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8"/>
    <w:pPr>
      <w:ind w:left="720"/>
      <w:contextualSpacing/>
    </w:pPr>
  </w:style>
  <w:style w:type="paragraph" w:customStyle="1" w:styleId="ConsPlusNormal">
    <w:name w:val="ConsPlusNormal"/>
    <w:rsid w:val="001C0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8"/>
    <w:pPr>
      <w:ind w:left="720"/>
      <w:contextualSpacing/>
    </w:pPr>
  </w:style>
  <w:style w:type="paragraph" w:customStyle="1" w:styleId="ConsPlusNormal">
    <w:name w:val="ConsPlusNormal"/>
    <w:rsid w:val="001C0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2015-12-17T16:48:00Z</dcterms:created>
  <dcterms:modified xsi:type="dcterms:W3CDTF">2015-12-17T16:55:00Z</dcterms:modified>
</cp:coreProperties>
</file>