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 xml:space="preserve">ртская Республика, г. Сарапул,  жилой район </w:t>
      </w:r>
      <w:r w:rsidR="00BE6DFE" w:rsidRPr="00BE6DFE">
        <w:rPr>
          <w:rFonts w:ascii="Times New Roman" w:eastAsia="Times New Roman" w:hAnsi="Times New Roman" w:cs="Times New Roman"/>
          <w:b/>
          <w:bCs/>
          <w:color w:val="000000"/>
          <w:lang w:eastAsia="ru-RU"/>
        </w:rPr>
        <w:t>Новосельский</w:t>
      </w:r>
      <w:r w:rsidR="00213510">
        <w:rPr>
          <w:rFonts w:ascii="Times New Roman" w:eastAsia="Times New Roman" w:hAnsi="Times New Roman" w:cs="Times New Roman"/>
          <w:b/>
          <w:bCs/>
          <w:color w:val="000000"/>
          <w:lang w:eastAsia="ru-RU"/>
        </w:rPr>
        <w:t>,</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кадастровый номер </w:t>
      </w:r>
      <w:r w:rsidR="00BE6DFE" w:rsidRPr="00BE6DFE">
        <w:rPr>
          <w:rFonts w:ascii="Times New Roman" w:eastAsia="Times New Roman" w:hAnsi="Times New Roman" w:cs="Times New Roman"/>
          <w:b/>
          <w:bCs/>
          <w:color w:val="000000"/>
          <w:lang w:eastAsia="ru-RU"/>
        </w:rPr>
        <w:t>18:30:000850:2</w:t>
      </w:r>
      <w:r w:rsidR="001900D3">
        <w:rPr>
          <w:rFonts w:ascii="Times New Roman" w:eastAsia="Times New Roman" w:hAnsi="Times New Roman" w:cs="Times New Roman"/>
          <w:b/>
          <w:bCs/>
          <w:color w:val="000000"/>
          <w:lang w:eastAsia="ru-RU"/>
        </w:rPr>
        <w:t>08</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C43C38" w:rsidRPr="000174DB" w:rsidRDefault="00E93419" w:rsidP="00213510">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E9341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E93419">
              <w:rPr>
                <w:rFonts w:ascii="Times New Roman" w:eastAsia="Times New Roman" w:hAnsi="Times New Roman" w:cs="Times New Roman"/>
                <w:sz w:val="16"/>
                <w:szCs w:val="16"/>
                <w:lang w:eastAsia="ru-RU"/>
              </w:rPr>
              <w:t>000</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E93419" w:rsidP="001900D3">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18:30:000850:2</w:t>
            </w:r>
            <w:r w:rsidR="001900D3">
              <w:rPr>
                <w:rFonts w:ascii="Times New Roman" w:eastAsia="Times New Roman" w:hAnsi="Times New Roman" w:cs="Times New Roman"/>
                <w:sz w:val="16"/>
                <w:szCs w:val="16"/>
                <w:lang w:eastAsia="ru-RU"/>
              </w:rPr>
              <w:t>08</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E93419"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166 835</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 xml:space="preserve">Сто </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шестьдесят</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w:t>
            </w:r>
            <w:r w:rsidR="00AC1B89">
              <w:rPr>
                <w:rFonts w:ascii="Times New Roman" w:eastAsia="Times New Roman" w:hAnsi="Times New Roman" w:cs="Times New Roman"/>
                <w:bCs/>
                <w:sz w:val="16"/>
                <w:szCs w:val="16"/>
                <w:lang w:eastAsia="ru-RU"/>
              </w:rPr>
              <w:t xml:space="preserve"> тысяч</w:t>
            </w:r>
            <w:r w:rsidR="004723A6">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восемьсот тридцать пять</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1900D3">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0041132F" w:rsidRPr="000174DB">
              <w:rPr>
                <w:rFonts w:ascii="Times New Roman" w:eastAsia="Times New Roman" w:hAnsi="Times New Roman" w:cs="Times New Roman"/>
                <w:bCs/>
                <w:sz w:val="16"/>
                <w:szCs w:val="16"/>
                <w:lang w:eastAsia="ru-RU"/>
              </w:rPr>
              <w:t>на</w:t>
            </w:r>
            <w:proofErr w:type="gramEnd"/>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1900D3">
              <w:rPr>
                <w:rFonts w:ascii="Times New Roman" w:eastAsia="Times New Roman" w:hAnsi="Times New Roman" w:cs="Times New Roman"/>
                <w:bCs/>
                <w:sz w:val="16"/>
                <w:szCs w:val="16"/>
                <w:lang w:eastAsia="ru-RU"/>
              </w:rPr>
              <w:t>6</w:t>
            </w:r>
            <w:r w:rsidR="00246D49" w:rsidRPr="000174DB">
              <w:rPr>
                <w:rFonts w:ascii="Times New Roman" w:eastAsia="Times New Roman" w:hAnsi="Times New Roman" w:cs="Times New Roman"/>
                <w:bCs/>
                <w:sz w:val="16"/>
                <w:szCs w:val="16"/>
                <w:lang w:eastAsia="ru-RU"/>
              </w:rPr>
              <w:t xml:space="preserve"> от </w:t>
            </w:r>
            <w:r w:rsidR="004723A6">
              <w:rPr>
                <w:rFonts w:ascii="Times New Roman" w:eastAsia="Times New Roman" w:hAnsi="Times New Roman" w:cs="Times New Roman"/>
                <w:bCs/>
                <w:sz w:val="16"/>
                <w:szCs w:val="16"/>
                <w:lang w:eastAsia="ru-RU"/>
              </w:rPr>
              <w:t>0</w:t>
            </w:r>
            <w:r w:rsidR="00E93419">
              <w:rPr>
                <w:rFonts w:ascii="Times New Roman" w:eastAsia="Times New Roman" w:hAnsi="Times New Roman" w:cs="Times New Roman"/>
                <w:bCs/>
                <w:sz w:val="16"/>
                <w:szCs w:val="16"/>
                <w:lang w:eastAsia="ru-RU"/>
              </w:rPr>
              <w:t>2</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E93419"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33 367</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Тридцать</w:t>
            </w:r>
            <w:r w:rsidR="0080552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три</w:t>
            </w:r>
            <w:r w:rsidR="0000538B">
              <w:rPr>
                <w:rFonts w:ascii="Times New Roman" w:eastAsia="Times New Roman" w:hAnsi="Times New Roman" w:cs="Times New Roman"/>
                <w:sz w:val="16"/>
                <w:szCs w:val="16"/>
                <w:lang w:eastAsia="ru-RU"/>
              </w:rPr>
              <w:t xml:space="preserve"> тысяч</w:t>
            </w:r>
            <w:r>
              <w:rPr>
                <w:rFonts w:ascii="Times New Roman" w:eastAsia="Times New Roman" w:hAnsi="Times New Roman" w:cs="Times New Roman"/>
                <w:sz w:val="16"/>
                <w:szCs w:val="16"/>
                <w:lang w:eastAsia="ru-RU"/>
              </w:rPr>
              <w:t>и</w:t>
            </w:r>
            <w:r w:rsidR="0000538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триста шестьдесят семь</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F54D07" w:rsidRPr="000174DB">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80552E"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F54D07" w:rsidRPr="000174DB">
              <w:rPr>
                <w:rFonts w:ascii="Times New Roman" w:eastAsia="Times New Roman" w:hAnsi="Times New Roman" w:cs="Times New Roman"/>
                <w:sz w:val="16"/>
                <w:szCs w:val="16"/>
                <w:lang w:eastAsia="ru-RU"/>
              </w:rPr>
              <w:t>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E93419" w:rsidP="00AE0170">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5 005 </w:t>
            </w:r>
            <w:r w:rsidR="008C3BB3"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Пять</w:t>
            </w:r>
            <w:r w:rsidR="008652AC" w:rsidRPr="000174DB">
              <w:rPr>
                <w:rFonts w:ascii="Times New Roman" w:eastAsia="Times New Roman" w:hAnsi="Times New Roman" w:cs="Times New Roman"/>
                <w:bCs/>
                <w:color w:val="000000"/>
                <w:sz w:val="16"/>
                <w:szCs w:val="16"/>
                <w:lang w:eastAsia="ru-RU"/>
              </w:rPr>
              <w:t xml:space="preserve"> тысяч</w:t>
            </w:r>
            <w:r w:rsidR="0000538B">
              <w:rPr>
                <w:rFonts w:ascii="Times New Roman" w:eastAsia="Times New Roman" w:hAnsi="Times New Roman" w:cs="Times New Roman"/>
                <w:bCs/>
                <w:color w:val="000000"/>
                <w:sz w:val="16"/>
                <w:szCs w:val="16"/>
                <w:lang w:eastAsia="ru-RU"/>
              </w:rPr>
              <w:t xml:space="preserve"> </w:t>
            </w:r>
            <w:r w:rsidR="0080552E">
              <w:rPr>
                <w:rFonts w:ascii="Times New Roman" w:eastAsia="Times New Roman" w:hAnsi="Times New Roman" w:cs="Times New Roman"/>
                <w:bCs/>
                <w:color w:val="000000"/>
                <w:sz w:val="16"/>
                <w:szCs w:val="16"/>
                <w:lang w:eastAsia="ru-RU"/>
              </w:rPr>
              <w:t>пять</w:t>
            </w:r>
            <w:r w:rsidR="008652AC" w:rsidRPr="000174DB">
              <w:rPr>
                <w:rFonts w:ascii="Times New Roman" w:eastAsia="Times New Roman" w:hAnsi="Times New Roman" w:cs="Times New Roman"/>
                <w:bCs/>
                <w:color w:val="000000"/>
                <w:sz w:val="16"/>
                <w:szCs w:val="16"/>
                <w:lang w:eastAsia="ru-RU"/>
              </w:rPr>
              <w:t xml:space="preserve">)  рублей </w:t>
            </w:r>
          </w:p>
          <w:p w:rsidR="00D640E7" w:rsidRPr="000174DB" w:rsidRDefault="00E93419"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05</w:t>
            </w:r>
            <w:r w:rsidR="00D640E7" w:rsidRPr="000174DB">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CF39E6" w:rsidRPr="00CF39E6">
              <w:rPr>
                <w:rFonts w:ascii="Times New Roman" w:eastAsia="Times New Roman" w:hAnsi="Times New Roman" w:cs="Times New Roman"/>
                <w:sz w:val="16"/>
                <w:szCs w:val="16"/>
                <w:lang w:eastAsia="ru-RU"/>
              </w:rPr>
              <w:t>03.02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ED3851">
              <w:rPr>
                <w:rFonts w:ascii="Times New Roman" w:eastAsia="Times New Roman" w:hAnsi="Times New Roman" w:cs="Times New Roman"/>
                <w:sz w:val="16"/>
                <w:szCs w:val="16"/>
                <w:lang w:eastAsia="ru-RU"/>
              </w:rPr>
              <w:t>г. (с 08 час. 30 мин.)</w:t>
            </w:r>
            <w:r w:rsidR="00642A7C" w:rsidRPr="00CF39E6">
              <w:rPr>
                <w:rFonts w:ascii="Times New Roman" w:eastAsia="Times New Roman" w:hAnsi="Times New Roman" w:cs="Times New Roman"/>
                <w:sz w:val="16"/>
                <w:szCs w:val="16"/>
                <w:lang w:eastAsia="ru-RU"/>
              </w:rPr>
              <w:t xml:space="preserve"> по </w:t>
            </w:r>
            <w:r w:rsidR="00CF39E6">
              <w:rPr>
                <w:rFonts w:ascii="Times New Roman" w:eastAsia="Times New Roman" w:hAnsi="Times New Roman" w:cs="Times New Roman"/>
                <w:sz w:val="16"/>
                <w:szCs w:val="16"/>
                <w:lang w:eastAsia="ru-RU"/>
              </w:rPr>
              <w:t>01.03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4B3B01"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0</w:t>
            </w:r>
            <w:r w:rsidR="00982AB5">
              <w:rPr>
                <w:rFonts w:ascii="Times New Roman" w:eastAsia="Times New Roman" w:hAnsi="Times New Roman" w:cs="Times New Roman"/>
                <w:sz w:val="16"/>
                <w:szCs w:val="16"/>
                <w:lang w:eastAsia="ru-RU"/>
              </w:rPr>
              <w:t>6</w:t>
            </w:r>
            <w:r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1900D3">
              <w:rPr>
                <w:rFonts w:ascii="Times New Roman" w:eastAsia="Times New Roman" w:hAnsi="Times New Roman" w:cs="Times New Roman"/>
                <w:sz w:val="16"/>
                <w:szCs w:val="16"/>
                <w:lang w:eastAsia="ru-RU"/>
              </w:rPr>
              <w:t>1</w:t>
            </w:r>
            <w:r w:rsidRPr="00CF39E6">
              <w:rPr>
                <w:rFonts w:ascii="Times New Roman" w:eastAsia="Times New Roman" w:hAnsi="Times New Roman" w:cs="Times New Roman"/>
                <w:sz w:val="16"/>
                <w:szCs w:val="16"/>
                <w:lang w:eastAsia="ru-RU"/>
              </w:rPr>
              <w:t xml:space="preserve"> час.</w:t>
            </w:r>
          </w:p>
          <w:p w:rsidR="00D640E7" w:rsidRPr="00CF39E6" w:rsidRDefault="003E1C11"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D640E7" w:rsidRPr="00CF39E6">
              <w:rPr>
                <w:rFonts w:ascii="Times New Roman" w:eastAsia="Times New Roman" w:hAnsi="Times New Roman" w:cs="Times New Roman"/>
                <w:sz w:val="16"/>
                <w:szCs w:val="16"/>
                <w:lang w:eastAsia="ru-RU"/>
              </w:rPr>
              <w:t>0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1A074C">
        <w:rPr>
          <w:rFonts w:ascii="Times New Roman" w:eastAsia="Times New Roman" w:hAnsi="Times New Roman" w:cs="Times New Roman"/>
          <w:bCs/>
          <w:color w:val="000000"/>
          <w:lang w:eastAsia="ru-RU"/>
        </w:rPr>
        <w:t>01</w:t>
      </w:r>
      <w:r w:rsidRPr="009E6837">
        <w:rPr>
          <w:rFonts w:ascii="Times New Roman" w:eastAsia="Times New Roman" w:hAnsi="Times New Roman" w:cs="Times New Roman"/>
          <w:bCs/>
          <w:color w:val="000000"/>
          <w:lang w:eastAsia="ru-RU"/>
        </w:rPr>
        <w:t xml:space="preserve">» </w:t>
      </w:r>
      <w:r w:rsidR="001A074C">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1A074C">
        <w:rPr>
          <w:rFonts w:ascii="Times New Roman" w:eastAsia="Times New Roman" w:hAnsi="Times New Roman" w:cs="Times New Roman"/>
          <w:bCs/>
          <w:color w:val="000000"/>
          <w:lang w:eastAsia="ru-RU"/>
        </w:rPr>
        <w:t>268</w:t>
      </w:r>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w:t>
      </w:r>
      <w:r w:rsidRPr="001C482A">
        <w:rPr>
          <w:rFonts w:ascii="Times New Roman" w:eastAsia="Times New Roman" w:hAnsi="Times New Roman" w:cs="Times New Roman"/>
          <w:color w:val="000000"/>
          <w:lang w:eastAsia="ru-RU"/>
        </w:rPr>
        <w:lastRenderedPageBreak/>
        <w:t>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3E1C11">
        <w:rPr>
          <w:rFonts w:ascii="Times New Roman" w:eastAsia="Times New Roman" w:hAnsi="Times New Roman" w:cs="Times New Roman"/>
          <w:lang w:eastAsia="ru-RU"/>
        </w:rPr>
        <w:t>централизованной системе водоснабжения возможно</w:t>
      </w:r>
      <w:r w:rsidR="000B195A">
        <w:rPr>
          <w:rFonts w:ascii="Times New Roman" w:eastAsia="Times New Roman" w:hAnsi="Times New Roman" w:cs="Times New Roman"/>
          <w:lang w:eastAsia="ru-RU"/>
        </w:rPr>
        <w:t xml:space="preserve">.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3E1C1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3E1C11" w:rsidRPr="003E1C11">
        <w:rPr>
          <w:rFonts w:ascii="Times New Roman" w:eastAsia="Times New Roman" w:hAnsi="Times New Roman" w:cs="Times New Roman"/>
          <w:lang w:eastAsia="ru-RU"/>
        </w:rPr>
        <w:t>к централизованной системе</w:t>
      </w:r>
      <w:r w:rsidR="003E1C11">
        <w:rPr>
          <w:rFonts w:ascii="Times New Roman" w:eastAsia="Times New Roman" w:hAnsi="Times New Roman" w:cs="Times New Roman"/>
          <w:lang w:eastAsia="ru-RU"/>
        </w:rPr>
        <w:t xml:space="preserve"> канализации возможно, при условии строительства </w:t>
      </w:r>
      <w:r w:rsidR="003E1C11" w:rsidRPr="003E1C11">
        <w:rPr>
          <w:rFonts w:ascii="Times New Roman" w:eastAsia="Times New Roman" w:hAnsi="Times New Roman" w:cs="Times New Roman"/>
          <w:lang w:eastAsia="ru-RU"/>
        </w:rPr>
        <w:t>канализационной насосной станции для подачи сточных вод в точку подключения.</w:t>
      </w:r>
      <w:r w:rsidR="003E1C11">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sidR="003E1C11">
        <w:rPr>
          <w:rFonts w:ascii="Times New Roman" w:eastAsia="Times New Roman" w:hAnsi="Times New Roman" w:cs="Times New Roman"/>
          <w:lang w:eastAsia="ru-RU"/>
        </w:rPr>
        <w:t xml:space="preserve"> – канализация</w:t>
      </w:r>
      <w:proofErr w:type="gramStart"/>
      <w:r w:rsidR="003E1C11">
        <w:rPr>
          <w:rFonts w:ascii="Times New Roman" w:eastAsia="Times New Roman" w:hAnsi="Times New Roman" w:cs="Times New Roman"/>
          <w:lang w:eastAsia="ru-RU"/>
        </w:rPr>
        <w:t xml:space="preserve"> Д</w:t>
      </w:r>
      <w:proofErr w:type="gramEnd"/>
      <w:r w:rsidR="003E1C11">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w:t>
      </w:r>
      <w:r w:rsidRPr="00EC2631">
        <w:rPr>
          <w:rFonts w:ascii="Times New Roman" w:eastAsia="Times New Roman" w:hAnsi="Times New Roman" w:cs="Times New Roman"/>
          <w:lang w:eastAsia="ru-RU"/>
        </w:rPr>
        <w:lastRenderedPageBreak/>
        <w:t>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D41E6A">
        <w:rPr>
          <w:rFonts w:ascii="Times New Roman" w:eastAsia="Times New Roman" w:hAnsi="Times New Roman" w:cs="Times New Roman"/>
          <w:lang w:eastAsia="ru-RU"/>
        </w:rPr>
        <w:t xml:space="preserve"> месяцев, в случае необходимости выполнения строительных работ и 6 </w:t>
      </w:r>
      <w:r w:rsidR="00EC2C80">
        <w:rPr>
          <w:rFonts w:ascii="Times New Roman" w:eastAsia="Times New Roman" w:hAnsi="Times New Roman" w:cs="Times New Roman"/>
          <w:lang w:eastAsia="ru-RU"/>
        </w:rPr>
        <w:t>месяцев</w:t>
      </w:r>
      <w:r w:rsidR="00D41E6A">
        <w:rPr>
          <w:rFonts w:ascii="Times New Roman" w:eastAsia="Times New Roman" w:hAnsi="Times New Roman" w:cs="Times New Roman"/>
          <w:lang w:eastAsia="ru-RU"/>
        </w:rPr>
        <w:t xml:space="preserve">, в случае </w:t>
      </w:r>
      <w:r w:rsidR="00EC2C80">
        <w:rPr>
          <w:rFonts w:ascii="Times New Roman" w:eastAsia="Times New Roman" w:hAnsi="Times New Roman" w:cs="Times New Roman"/>
          <w:lang w:eastAsia="ru-RU"/>
        </w:rPr>
        <w:t xml:space="preserve">необходимости выполнения реконструкции линии,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r w:rsidR="001B0639">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roofErr w:type="gramStart"/>
      <w:r w:rsidRPr="00EC2631">
        <w:rPr>
          <w:rFonts w:ascii="Times New Roman" w:eastAsia="Times New Roman" w:hAnsi="Times New Roman" w:cs="Times New Roman"/>
          <w:lang w:eastAsia="ru-RU"/>
        </w:rPr>
        <w:t>Согласно правил</w:t>
      </w:r>
      <w:proofErr w:type="gramEnd"/>
      <w:r w:rsidRPr="00EC2631">
        <w:rPr>
          <w:rFonts w:ascii="Times New Roman" w:eastAsia="Times New Roman" w:hAnsi="Times New Roman" w:cs="Times New Roman"/>
          <w:lang w:eastAsia="ru-RU"/>
        </w:rPr>
        <w:t>,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5F12D8" w:rsidRPr="00EC2631" w:rsidRDefault="005F12D8" w:rsidP="005F12D8">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B73C1A" w:rsidRPr="000B1668"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Pr>
          <w:rFonts w:ascii="Times New Roman" w:eastAsia="Times New Roman" w:hAnsi="Times New Roman" w:cs="Times New Roman"/>
          <w:u w:val="single"/>
          <w:lang w:eastAsia="ru-RU"/>
        </w:rPr>
        <w:t>.</w:t>
      </w:r>
    </w:p>
    <w:p w:rsidR="00B73C1A" w:rsidRPr="004723A6"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w:t>
      </w:r>
      <w:r w:rsidR="005F12D8">
        <w:rPr>
          <w:rFonts w:ascii="Times New Roman" w:eastAsia="Times New Roman" w:hAnsi="Times New Roman" w:cs="Times New Roman"/>
          <w:lang w:eastAsia="ru-RU"/>
        </w:rPr>
        <w:t>492</w:t>
      </w:r>
      <w:r>
        <w:rPr>
          <w:rFonts w:ascii="Times New Roman" w:eastAsia="Times New Roman" w:hAnsi="Times New Roman" w:cs="Times New Roman"/>
          <w:lang w:eastAsia="ru-RU"/>
        </w:rPr>
        <w:t>/</w:t>
      </w:r>
      <w:r w:rsidR="005F12D8">
        <w:rPr>
          <w:rFonts w:ascii="Times New Roman" w:eastAsia="Times New Roman" w:hAnsi="Times New Roman" w:cs="Times New Roman"/>
          <w:lang w:val="en-US" w:eastAsia="ru-RU"/>
        </w:rPr>
        <w:t>Host</w:t>
      </w:r>
      <w:r w:rsidR="005F12D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 Сарапул, ул. </w:t>
      </w:r>
      <w:r w:rsidR="005F12D8">
        <w:rPr>
          <w:rFonts w:ascii="Times New Roman" w:eastAsia="Times New Roman" w:hAnsi="Times New Roman" w:cs="Times New Roman"/>
          <w:lang w:eastAsia="ru-RU"/>
        </w:rPr>
        <w:t>Пугачева</w:t>
      </w:r>
      <w:r>
        <w:rPr>
          <w:rFonts w:ascii="Times New Roman" w:eastAsia="Times New Roman" w:hAnsi="Times New Roman" w:cs="Times New Roman"/>
          <w:lang w:eastAsia="ru-RU"/>
        </w:rPr>
        <w:t xml:space="preserve">, </w:t>
      </w:r>
      <w:r w:rsidR="005F12D8">
        <w:rPr>
          <w:rFonts w:ascii="Times New Roman" w:eastAsia="Times New Roman" w:hAnsi="Times New Roman" w:cs="Times New Roman"/>
          <w:lang w:eastAsia="ru-RU"/>
        </w:rPr>
        <w:t>78</w:t>
      </w:r>
      <w:r>
        <w:rPr>
          <w:rFonts w:ascii="Times New Roman" w:eastAsia="Times New Roman" w:hAnsi="Times New Roman" w:cs="Times New Roman"/>
          <w:lang w:eastAsia="ru-RU"/>
        </w:rPr>
        <w:t>.</w:t>
      </w:r>
      <w:r w:rsidRPr="004723A6">
        <w:rPr>
          <w:rFonts w:ascii="Times New Roman" w:eastAsia="Times New Roman" w:hAnsi="Times New Roman" w:cs="Times New Roman"/>
          <w:lang w:eastAsia="ru-RU"/>
        </w:rPr>
        <w:t xml:space="preserve"> </w:t>
      </w:r>
      <w:r w:rsidR="009F1FAC">
        <w:rPr>
          <w:rFonts w:ascii="Times New Roman" w:eastAsia="Times New Roman" w:hAnsi="Times New Roman" w:cs="Times New Roman"/>
          <w:lang w:eastAsia="ru-RU"/>
        </w:rPr>
        <w:t>Расстояние от точки подключения до земельного участка 3,</w:t>
      </w:r>
      <w:r w:rsidR="00C768F9">
        <w:rPr>
          <w:rFonts w:ascii="Times New Roman" w:eastAsia="Times New Roman" w:hAnsi="Times New Roman" w:cs="Times New Roman"/>
          <w:lang w:eastAsia="ru-RU"/>
        </w:rPr>
        <w:t>6</w:t>
      </w:r>
      <w:r w:rsidR="009F1FAC">
        <w:rPr>
          <w:rFonts w:ascii="Times New Roman" w:eastAsia="Times New Roman" w:hAnsi="Times New Roman" w:cs="Times New Roman"/>
          <w:lang w:eastAsia="ru-RU"/>
        </w:rPr>
        <w:t xml:space="preserve"> км.</w:t>
      </w:r>
    </w:p>
    <w:p w:rsidR="00B73C1A"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Извещение об отказе в проведении аукциона в течение трех дней со дня принятия данного решения размещается </w:t>
      </w:r>
      <w:r w:rsidRPr="00EC2631">
        <w:rPr>
          <w:rFonts w:ascii="Times New Roman" w:eastAsia="Times New Roman" w:hAnsi="Times New Roman" w:cs="Times New Roman"/>
          <w:color w:val="000000"/>
          <w:lang w:eastAsia="ru-RU"/>
        </w:rPr>
        <w:lastRenderedPageBreak/>
        <w:t xml:space="preserve">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301DA5"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 xml:space="preserve">Удмуртская Республика, г. Сарапул, жилой район </w:t>
      </w:r>
      <w:r w:rsidR="00301DA5" w:rsidRPr="00301DA5">
        <w:rPr>
          <w:rFonts w:ascii="Times New Roman" w:eastAsia="Times New Roman" w:hAnsi="Times New Roman" w:cs="Times New Roman"/>
          <w:lang w:eastAsia="ru-RU"/>
        </w:rPr>
        <w:t>Новосельский</w:t>
      </w:r>
      <w:r w:rsidR="005C495B" w:rsidRPr="00674959">
        <w:rPr>
          <w:rFonts w:ascii="Times New Roman" w:eastAsia="Times New Roman" w:hAnsi="Times New Roman" w:cs="Times New Roman"/>
          <w:lang w:eastAsia="ru-RU"/>
        </w:rPr>
        <w:t xml:space="preserve">, кадастровый номер </w:t>
      </w:r>
      <w:r w:rsidR="00301DA5" w:rsidRPr="00301DA5">
        <w:rPr>
          <w:rFonts w:ascii="Times New Roman" w:eastAsia="Times New Roman" w:hAnsi="Times New Roman" w:cs="Times New Roman"/>
          <w:lang w:eastAsia="ru-RU"/>
        </w:rPr>
        <w:t>18:30:000850:2</w:t>
      </w:r>
      <w:r w:rsidR="00E422BD">
        <w:rPr>
          <w:rFonts w:ascii="Times New Roman" w:eastAsia="Times New Roman" w:hAnsi="Times New Roman" w:cs="Times New Roman"/>
          <w:lang w:eastAsia="ru-RU"/>
        </w:rPr>
        <w:t>08</w:t>
      </w:r>
      <w:bookmarkStart w:id="0" w:name="_GoBack"/>
      <w:bookmarkEnd w:id="0"/>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E66111">
        <w:rPr>
          <w:rFonts w:ascii="Times New Roman" w:eastAsia="Times New Roman" w:hAnsi="Times New Roman" w:cs="Times New Roman"/>
          <w:lang w:eastAsia="ru-RU"/>
        </w:rPr>
        <w:t>03.02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E66111">
        <w:rPr>
          <w:rFonts w:ascii="Times New Roman" w:eastAsia="Times New Roman" w:hAnsi="Times New Roman" w:cs="Times New Roman"/>
          <w:lang w:eastAsia="ru-RU"/>
        </w:rPr>
        <w:t>01</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w:t>
      </w:r>
      <w:proofErr w:type="gramStart"/>
      <w:r w:rsidRPr="00E66111">
        <w:rPr>
          <w:rFonts w:ascii="Times New Roman" w:eastAsia="Times New Roman" w:hAnsi="Times New Roman" w:cs="Times New Roman"/>
          <w:lang w:eastAsia="ru-RU"/>
        </w:rPr>
        <w:t>до</w:t>
      </w:r>
      <w:proofErr w:type="gramEnd"/>
      <w:r w:rsidRPr="00E66111">
        <w:rPr>
          <w:rFonts w:ascii="Times New Roman" w:eastAsia="Times New Roman" w:hAnsi="Times New Roman" w:cs="Times New Roman"/>
          <w:lang w:eastAsia="ru-RU"/>
        </w:rPr>
        <w:t xml:space="preserve"> 16.00 (</w:t>
      </w:r>
      <w:proofErr w:type="gramStart"/>
      <w:r w:rsidRPr="00E66111">
        <w:rPr>
          <w:rFonts w:ascii="Times New Roman" w:eastAsia="Times New Roman" w:hAnsi="Times New Roman" w:cs="Times New Roman"/>
          <w:lang w:eastAsia="ru-RU"/>
        </w:rPr>
        <w:t>обед</w:t>
      </w:r>
      <w:proofErr w:type="gramEnd"/>
      <w:r w:rsidRPr="00E66111">
        <w:rPr>
          <w:rFonts w:ascii="Times New Roman" w:eastAsia="Times New Roman" w:hAnsi="Times New Roman" w:cs="Times New Roman"/>
          <w:lang w:eastAsia="ru-RU"/>
        </w:rPr>
        <w:t xml:space="preserve">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E66111" w:rsidRPr="00E66111">
        <w:rPr>
          <w:rFonts w:ascii="Times New Roman" w:eastAsia="Times New Roman" w:hAnsi="Times New Roman" w:cs="Times New Roman"/>
          <w:b/>
          <w:lang w:eastAsia="ru-RU"/>
        </w:rPr>
        <w:t>03.03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46035" w:rsidRDefault="0094603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D3B6D" w:rsidRDefault="00BD3B6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D3B6D" w:rsidRDefault="00BD3B6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D3B6D" w:rsidRDefault="00BD3B6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r w:rsidR="00946035">
        <w:rPr>
          <w:rFonts w:ascii="Times New Roman" w:eastAsia="Times New Roman" w:hAnsi="Times New Roman" w:cs="Times New Roman"/>
          <w:sz w:val="18"/>
          <w:szCs w:val="18"/>
          <w:lang w:eastAsia="ru-RU"/>
        </w:rPr>
        <w:t>Новосельский</w:t>
      </w:r>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18:30:000</w:t>
      </w:r>
      <w:r w:rsidR="00946035">
        <w:rPr>
          <w:rFonts w:ascii="Times New Roman" w:eastAsia="Times New Roman" w:hAnsi="Times New Roman" w:cs="Times New Roman"/>
          <w:sz w:val="18"/>
          <w:szCs w:val="18"/>
          <w:lang w:eastAsia="ru-RU"/>
        </w:rPr>
        <w:t>850</w:t>
      </w:r>
      <w:r w:rsidR="009962F9" w:rsidRPr="009962F9">
        <w:rPr>
          <w:rFonts w:ascii="Times New Roman" w:eastAsia="Times New Roman" w:hAnsi="Times New Roman" w:cs="Times New Roman"/>
          <w:sz w:val="18"/>
          <w:szCs w:val="18"/>
          <w:lang w:eastAsia="ru-RU"/>
        </w:rPr>
        <w:t>:</w:t>
      </w:r>
      <w:r w:rsidR="00946035">
        <w:rPr>
          <w:rFonts w:ascii="Times New Roman" w:eastAsia="Times New Roman" w:hAnsi="Times New Roman" w:cs="Times New Roman"/>
          <w:sz w:val="18"/>
          <w:szCs w:val="18"/>
          <w:lang w:eastAsia="ru-RU"/>
        </w:rPr>
        <w:t>2</w:t>
      </w:r>
      <w:r w:rsidR="002879E2">
        <w:rPr>
          <w:rFonts w:ascii="Times New Roman" w:eastAsia="Times New Roman" w:hAnsi="Times New Roman" w:cs="Times New Roman"/>
          <w:sz w:val="18"/>
          <w:szCs w:val="18"/>
          <w:lang w:eastAsia="ru-RU"/>
        </w:rPr>
        <w:t>08</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7B6142">
        <w:rPr>
          <w:rFonts w:ascii="Times New Roman" w:eastAsia="Times New Roman" w:hAnsi="Times New Roman" w:cs="Times New Roman"/>
          <w:sz w:val="18"/>
          <w:szCs w:val="18"/>
          <w:lang w:eastAsia="ru-RU"/>
        </w:rPr>
        <w:t>1</w:t>
      </w:r>
      <w:r w:rsidR="00946035">
        <w:rPr>
          <w:rFonts w:ascii="Times New Roman" w:eastAsia="Times New Roman" w:hAnsi="Times New Roman" w:cs="Times New Roman"/>
          <w:sz w:val="18"/>
          <w:szCs w:val="18"/>
          <w:lang w:eastAsia="ru-RU"/>
        </w:rPr>
        <w:t>000</w:t>
      </w:r>
      <w:r w:rsidRPr="001C482A">
        <w:rPr>
          <w:rFonts w:ascii="Times New Roman" w:eastAsia="Times New Roman" w:hAnsi="Times New Roman" w:cs="Times New Roman"/>
          <w:sz w:val="18"/>
          <w:szCs w:val="18"/>
          <w:lang w:eastAsia="ru-RU"/>
        </w:rPr>
        <w:t xml:space="preserve"> кв.м</w:t>
      </w:r>
      <w:r w:rsidR="009962F9">
        <w:rPr>
          <w:rFonts w:ascii="Times New Roman" w:eastAsia="Times New Roman" w:hAnsi="Times New Roman" w:cs="Times New Roman"/>
          <w:sz w:val="18"/>
          <w:szCs w:val="18"/>
          <w:lang w:eastAsia="ru-RU"/>
        </w:rPr>
        <w:t xml:space="preserve">., кадастровый номер </w:t>
      </w:r>
      <w:r w:rsidR="00946035" w:rsidRPr="00946035">
        <w:rPr>
          <w:rFonts w:ascii="Times New Roman" w:eastAsia="Times New Roman" w:hAnsi="Times New Roman" w:cs="Times New Roman"/>
          <w:sz w:val="18"/>
          <w:szCs w:val="18"/>
          <w:lang w:eastAsia="ru-RU"/>
        </w:rPr>
        <w:t>18:30:000850:2</w:t>
      </w:r>
      <w:r w:rsidR="002879E2">
        <w:rPr>
          <w:rFonts w:ascii="Times New Roman" w:eastAsia="Times New Roman" w:hAnsi="Times New Roman" w:cs="Times New Roman"/>
          <w:sz w:val="18"/>
          <w:szCs w:val="18"/>
          <w:lang w:eastAsia="ru-RU"/>
        </w:rPr>
        <w:t>08</w:t>
      </w:r>
      <w:r w:rsidRPr="001C482A">
        <w:rPr>
          <w:rFonts w:ascii="Times New Roman" w:eastAsia="Times New Roman" w:hAnsi="Times New Roman" w:cs="Times New Roman"/>
          <w:sz w:val="18"/>
          <w:szCs w:val="18"/>
          <w:lang w:eastAsia="ru-RU"/>
        </w:rPr>
        <w:t xml:space="preserve">, расположенного по адресу: </w:t>
      </w:r>
      <w:r w:rsidR="007B6142"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r w:rsidR="00946035" w:rsidRPr="00946035">
        <w:rPr>
          <w:rFonts w:ascii="Times New Roman" w:eastAsia="Times New Roman" w:hAnsi="Times New Roman" w:cs="Times New Roman"/>
          <w:sz w:val="18"/>
          <w:szCs w:val="18"/>
          <w:lang w:eastAsia="ru-RU"/>
        </w:rPr>
        <w:t>Новосельский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E422BD"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003D02" w:rsidRPr="00003D02" w:rsidRDefault="00003D02" w:rsidP="00BD3B6D">
      <w:pPr>
        <w:spacing w:after="0" w:line="240" w:lineRule="auto"/>
        <w:ind w:rightChars="-10" w:right="-22"/>
        <w:jc w:val="both"/>
        <w:rPr>
          <w:rFonts w:ascii="Times New Roman" w:eastAsia="Calibri" w:hAnsi="Times New Roman" w:cs="Times New Roman"/>
          <w:lang w:eastAsia="ru-RU"/>
        </w:rPr>
      </w:pPr>
      <w:r w:rsidRPr="00003D02">
        <w:rPr>
          <w:rFonts w:ascii="Times New Roman" w:eastAsia="Calibri" w:hAnsi="Times New Roman" w:cs="Times New Roman"/>
          <w:lang w:eastAsia="ru-RU"/>
        </w:rPr>
        <w:t>.</w:t>
      </w:r>
    </w:p>
    <w:sectPr w:rsidR="00003D02" w:rsidRPr="00003D02"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AC" w:rsidRDefault="009F1FAC" w:rsidP="00CA3555">
      <w:pPr>
        <w:spacing w:after="0" w:line="240" w:lineRule="auto"/>
      </w:pPr>
      <w:r>
        <w:separator/>
      </w:r>
    </w:p>
  </w:endnote>
  <w:endnote w:type="continuationSeparator" w:id="0">
    <w:p w:rsidR="009F1FAC" w:rsidRDefault="009F1FAC"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AC" w:rsidRDefault="009F1FAC" w:rsidP="00CA3555">
      <w:pPr>
        <w:spacing w:after="0" w:line="240" w:lineRule="auto"/>
      </w:pPr>
      <w:r>
        <w:separator/>
      </w:r>
    </w:p>
  </w:footnote>
  <w:footnote w:type="continuationSeparator" w:id="0">
    <w:p w:rsidR="009F1FAC" w:rsidRDefault="009F1FAC"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900D3"/>
    <w:rsid w:val="001A074C"/>
    <w:rsid w:val="001A1760"/>
    <w:rsid w:val="001B0639"/>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77A6"/>
    <w:rsid w:val="002879E2"/>
    <w:rsid w:val="00292B25"/>
    <w:rsid w:val="0029422D"/>
    <w:rsid w:val="002979FD"/>
    <w:rsid w:val="002A3250"/>
    <w:rsid w:val="002B275E"/>
    <w:rsid w:val="002B47DB"/>
    <w:rsid w:val="002B5694"/>
    <w:rsid w:val="002D1AE6"/>
    <w:rsid w:val="002E1ABF"/>
    <w:rsid w:val="002E42AD"/>
    <w:rsid w:val="002E4A7D"/>
    <w:rsid w:val="002F653D"/>
    <w:rsid w:val="00301DA5"/>
    <w:rsid w:val="0030309C"/>
    <w:rsid w:val="00321A92"/>
    <w:rsid w:val="0032273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E10BD"/>
    <w:rsid w:val="003E1C11"/>
    <w:rsid w:val="003F6F25"/>
    <w:rsid w:val="0040071E"/>
    <w:rsid w:val="00402785"/>
    <w:rsid w:val="0041132F"/>
    <w:rsid w:val="00412135"/>
    <w:rsid w:val="00413813"/>
    <w:rsid w:val="004273A0"/>
    <w:rsid w:val="00434585"/>
    <w:rsid w:val="00445CED"/>
    <w:rsid w:val="00453B7C"/>
    <w:rsid w:val="004606FE"/>
    <w:rsid w:val="004723A6"/>
    <w:rsid w:val="00485CAA"/>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12D8"/>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5CBF"/>
    <w:rsid w:val="008E655E"/>
    <w:rsid w:val="008F6462"/>
    <w:rsid w:val="009006ED"/>
    <w:rsid w:val="00921DDE"/>
    <w:rsid w:val="0092425C"/>
    <w:rsid w:val="009242E2"/>
    <w:rsid w:val="00924358"/>
    <w:rsid w:val="00931845"/>
    <w:rsid w:val="0094589D"/>
    <w:rsid w:val="00946035"/>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1FAC"/>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D2CE9"/>
    <w:rsid w:val="00AD6BB2"/>
    <w:rsid w:val="00AE0170"/>
    <w:rsid w:val="00AE3212"/>
    <w:rsid w:val="00B1109F"/>
    <w:rsid w:val="00B1242F"/>
    <w:rsid w:val="00B1391C"/>
    <w:rsid w:val="00B607A2"/>
    <w:rsid w:val="00B64145"/>
    <w:rsid w:val="00B72108"/>
    <w:rsid w:val="00B73C1A"/>
    <w:rsid w:val="00BC049B"/>
    <w:rsid w:val="00BD200E"/>
    <w:rsid w:val="00BD3B6D"/>
    <w:rsid w:val="00BE589C"/>
    <w:rsid w:val="00BE6DFE"/>
    <w:rsid w:val="00BF646C"/>
    <w:rsid w:val="00C03237"/>
    <w:rsid w:val="00C11331"/>
    <w:rsid w:val="00C138A9"/>
    <w:rsid w:val="00C43C38"/>
    <w:rsid w:val="00C52081"/>
    <w:rsid w:val="00C54DAB"/>
    <w:rsid w:val="00C56340"/>
    <w:rsid w:val="00C74958"/>
    <w:rsid w:val="00C768F9"/>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1E6A"/>
    <w:rsid w:val="00D44E94"/>
    <w:rsid w:val="00D640E7"/>
    <w:rsid w:val="00D662EC"/>
    <w:rsid w:val="00D67C84"/>
    <w:rsid w:val="00D8440B"/>
    <w:rsid w:val="00D9607E"/>
    <w:rsid w:val="00D97EE6"/>
    <w:rsid w:val="00DA7740"/>
    <w:rsid w:val="00DB204E"/>
    <w:rsid w:val="00DC4CAB"/>
    <w:rsid w:val="00DE0368"/>
    <w:rsid w:val="00DF488B"/>
    <w:rsid w:val="00DF7B34"/>
    <w:rsid w:val="00E05C77"/>
    <w:rsid w:val="00E073BC"/>
    <w:rsid w:val="00E231A3"/>
    <w:rsid w:val="00E35296"/>
    <w:rsid w:val="00E422BD"/>
    <w:rsid w:val="00E43E31"/>
    <w:rsid w:val="00E66111"/>
    <w:rsid w:val="00E76F28"/>
    <w:rsid w:val="00E80C76"/>
    <w:rsid w:val="00E81C94"/>
    <w:rsid w:val="00E826B8"/>
    <w:rsid w:val="00E8515F"/>
    <w:rsid w:val="00E93419"/>
    <w:rsid w:val="00E963C8"/>
    <w:rsid w:val="00EB0209"/>
    <w:rsid w:val="00EB5901"/>
    <w:rsid w:val="00EC2631"/>
    <w:rsid w:val="00EC2C80"/>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891C-2CEB-4652-9828-7A678DDF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7837</Words>
  <Characters>44672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 Чубакова</dc:creator>
  <cp:lastModifiedBy>Ирина В. Шампарова</cp:lastModifiedBy>
  <cp:revision>8</cp:revision>
  <cp:lastPrinted>2023-01-26T05:20:00Z</cp:lastPrinted>
  <dcterms:created xsi:type="dcterms:W3CDTF">2023-01-26T05:51:00Z</dcterms:created>
  <dcterms:modified xsi:type="dcterms:W3CDTF">2023-02-02T05:40:00Z</dcterms:modified>
</cp:coreProperties>
</file>