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84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18:30:000850:205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75F39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0856BD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18:30:000850:205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2E155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150 151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934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805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пятьдесят один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Pr="000174DB" w:rsidRDefault="002E1551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4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30 030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Тридцать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тридцать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85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4 504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пять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сот четыре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7F61FC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0856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CF39E6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4B3B01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</w:t>
            </w:r>
            <w:r w:rsidR="007F61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Pr="004723A6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18:30:000850:205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290C98"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23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4B18" w:rsidRDefault="00F94B18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94B18" w:rsidRDefault="00F94B18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94B18" w:rsidRDefault="00F94B18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205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18:30:000850:205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  <w:proofErr w:type="gramEnd"/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lastRenderedPageBreak/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F94B18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1C482A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1B5F71" w:rsidRPr="001C482A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8" w:rsidRDefault="00085D58" w:rsidP="00CA3555">
      <w:pPr>
        <w:spacing w:after="0" w:line="240" w:lineRule="auto"/>
      </w:pPr>
      <w:r>
        <w:separator/>
      </w:r>
    </w:p>
  </w:endnote>
  <w:end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8" w:rsidRDefault="00085D58" w:rsidP="00CA3555">
      <w:pPr>
        <w:spacing w:after="0" w:line="240" w:lineRule="auto"/>
      </w:pPr>
      <w:r>
        <w:separator/>
      </w:r>
    </w:p>
  </w:footnote>
  <w:foot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4B18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D053-48CA-4506-88E2-4AA152D9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15</Pages>
  <Words>8356</Words>
  <Characters>47633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443</cp:revision>
  <cp:lastPrinted>2023-05-10T09:05:00Z</cp:lastPrinted>
  <dcterms:created xsi:type="dcterms:W3CDTF">2022-03-22T10:26:00Z</dcterms:created>
  <dcterms:modified xsi:type="dcterms:W3CDTF">2023-05-25T09:29:00Z</dcterms:modified>
</cp:coreProperties>
</file>