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22" w:rsidRDefault="00253C22" w:rsidP="0025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53C22" w:rsidRPr="00D640E7" w:rsidRDefault="00253C22" w:rsidP="00253C22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18:30:000850:210</w:t>
      </w:r>
    </w:p>
    <w:p w:rsidR="00253C22" w:rsidRDefault="00253C22" w:rsidP="00253C22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3C22" w:rsidRDefault="00253C22" w:rsidP="00253C22">
      <w:pPr>
        <w:pStyle w:val="a4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253C22" w:rsidRDefault="00253C22" w:rsidP="00253C22">
      <w:pPr>
        <w:pStyle w:val="a4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3C22" w:rsidRPr="004D34BF" w:rsidRDefault="00253C22" w:rsidP="00253C22">
      <w:pPr>
        <w:pStyle w:val="a4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утратившим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253C22" w:rsidRPr="00552FE5" w:rsidRDefault="00253C22" w:rsidP="00253C22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CA50C2">
          <w:rPr>
            <w:rStyle w:val="a3"/>
            <w:rFonts w:ascii="Times New Roman" w:hAnsi="Times New Roman" w:cs="Times New Roman"/>
            <w:sz w:val="24"/>
            <w:szCs w:val="24"/>
          </w:rPr>
          <w:t>uio_s5@sarapul.udmr.ru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2FE5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Pr="00552FE5" w:rsidRDefault="00253C22" w:rsidP="00253C22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Default="00253C22" w:rsidP="00253C22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Default="00253C22" w:rsidP="00253C22">
      <w:pPr>
        <w:pStyle w:val="a4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253C22" w:rsidRPr="008F6737" w:rsidRDefault="00253C22" w:rsidP="00253C22">
      <w:pPr>
        <w:pStyle w:val="a4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53C22" w:rsidRPr="004E0DAD" w:rsidRDefault="00253C22" w:rsidP="00253C22">
      <w:pPr>
        <w:pStyle w:val="a4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16"/>
        <w:gridCol w:w="1633"/>
        <w:gridCol w:w="1104"/>
        <w:gridCol w:w="992"/>
        <w:gridCol w:w="1417"/>
        <w:gridCol w:w="1134"/>
      </w:tblGrid>
      <w:tr w:rsidR="00253C22" w:rsidRPr="000174DB" w:rsidTr="009B0709">
        <w:trPr>
          <w:trHeight w:val="646"/>
        </w:trPr>
        <w:tc>
          <w:tcPr>
            <w:tcW w:w="1134" w:type="dxa"/>
          </w:tcPr>
          <w:p w:rsidR="00253C22" w:rsidRDefault="00253C22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253C22" w:rsidRPr="000174DB" w:rsidRDefault="00253C22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09" w:type="dxa"/>
          </w:tcPr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516" w:type="dxa"/>
          </w:tcPr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253C22" w:rsidRDefault="00253C22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253C22" w:rsidRPr="000174DB" w:rsidRDefault="00253C22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253C22" w:rsidRPr="000174DB" w:rsidRDefault="00253C22" w:rsidP="009B0709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34" w:type="dxa"/>
          </w:tcPr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253C22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253C22" w:rsidRPr="000174DB" w:rsidRDefault="00253C22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1F1037" w:rsidRPr="000174DB" w:rsidTr="009B0709">
        <w:trPr>
          <w:trHeight w:val="243"/>
        </w:trPr>
        <w:tc>
          <w:tcPr>
            <w:tcW w:w="1134" w:type="dxa"/>
          </w:tcPr>
          <w:p w:rsidR="001F1037" w:rsidRDefault="001F1037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Default="001F1037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1F1037" w:rsidRPr="000174DB" w:rsidRDefault="001F1037" w:rsidP="009B070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09" w:type="dxa"/>
          </w:tcPr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Pr="000174DB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6" w:type="dxa"/>
          </w:tcPr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Pr="000174DB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18:30:000850:210</w:t>
            </w:r>
          </w:p>
        </w:tc>
        <w:tc>
          <w:tcPr>
            <w:tcW w:w="1633" w:type="dxa"/>
          </w:tcPr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20 897</w:t>
            </w:r>
          </w:p>
          <w:p w:rsidR="001F1037" w:rsidRPr="000174DB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(Двадцать тысяч восемьсот девяносто семь тысяч) рублей 00 копеек</w:t>
            </w:r>
          </w:p>
        </w:tc>
        <w:tc>
          <w:tcPr>
            <w:tcW w:w="1104" w:type="dxa"/>
          </w:tcPr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4 180</w:t>
            </w:r>
          </w:p>
          <w:p w:rsidR="001F1037" w:rsidRPr="000174DB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(Четыре тысячи сто восемьдесят) рублей 00 копеек</w:t>
            </w:r>
          </w:p>
        </w:tc>
        <w:tc>
          <w:tcPr>
            <w:tcW w:w="992" w:type="dxa"/>
          </w:tcPr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1F1037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</w:t>
            </w:r>
          </w:p>
          <w:p w:rsidR="001F1037" w:rsidRPr="000174DB" w:rsidRDefault="001F1037" w:rsidP="009B07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(Шестьсот двадцать семь) рублей 00 копеек</w:t>
            </w:r>
          </w:p>
        </w:tc>
        <w:tc>
          <w:tcPr>
            <w:tcW w:w="1417" w:type="dxa"/>
          </w:tcPr>
          <w:p w:rsidR="001F1037" w:rsidRPr="00CF39E6" w:rsidRDefault="001F1037" w:rsidP="00EC227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Default="001F1037" w:rsidP="00EC227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26.12.2023 г. </w:t>
            </w:r>
          </w:p>
          <w:p w:rsidR="001F1037" w:rsidRDefault="001F1037" w:rsidP="00EC227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1F1037" w:rsidRDefault="001F1037" w:rsidP="00EC227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19.01.2024 г. (до 17.00 час.)</w:t>
            </w:r>
          </w:p>
          <w:p w:rsidR="001F1037" w:rsidRPr="00CF39E6" w:rsidRDefault="001F1037" w:rsidP="00EC227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Pr="00CF39E6" w:rsidRDefault="001F1037" w:rsidP="00EC227A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1F1037" w:rsidRPr="00CF39E6" w:rsidRDefault="001F1037" w:rsidP="00EC22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F1037" w:rsidRDefault="001F1037" w:rsidP="00EC22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23.01.2024 г. </w:t>
            </w:r>
          </w:p>
          <w:p w:rsidR="001F1037" w:rsidRPr="00CF39E6" w:rsidRDefault="001F1037" w:rsidP="00EC227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10.00 час.</w:t>
            </w:r>
          </w:p>
        </w:tc>
      </w:tr>
    </w:tbl>
    <w:p w:rsidR="00253C22" w:rsidRPr="00711D52" w:rsidRDefault="00253C22" w:rsidP="00253C22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253C22" w:rsidRPr="00711D52" w:rsidRDefault="00253C22" w:rsidP="00253C2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253C22" w:rsidRPr="001F77B2" w:rsidRDefault="00253C22" w:rsidP="00253C2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введении в действие Земельного кодекса Российской Федерации».</w:t>
      </w:r>
    </w:p>
    <w:p w:rsidR="00253C22" w:rsidRPr="001C482A" w:rsidRDefault="00253C22" w:rsidP="00253C2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253C22" w:rsidRPr="001C482A" w:rsidRDefault="00253C22" w:rsidP="00253C2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53C22" w:rsidRPr="001C482A" w:rsidRDefault="00253C22" w:rsidP="00253C22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253C22" w:rsidRDefault="00253C22" w:rsidP="00253C22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253C22" w:rsidRPr="001C482A" w:rsidRDefault="00253C22" w:rsidP="00253C22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r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СП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42.13330.2011. Градостроительство. Планировка и застройка городских и сельских поселений.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Актуализированная редакция СНиП 2.08.01-89</w:t>
      </w:r>
      <w:r w:rsidRPr="001C482A">
        <w:rPr>
          <w:rFonts w:ascii="Arial" w:eastAsia="Times New Roman" w:hAnsi="Arial" w:cs="Arial"/>
          <w:color w:val="000000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утвержденный приказом 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Минрегиона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от 28.12.2010 г. № 820).</w:t>
      </w:r>
      <w:proofErr w:type="gramEnd"/>
    </w:p>
    <w:p w:rsidR="00253C22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253C22" w:rsidRPr="001C482A" w:rsidRDefault="00253C22" w:rsidP="00253C22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253C22" w:rsidRPr="001C482A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253C22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253C22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253C22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253C22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253C22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253C22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253C22" w:rsidRPr="001C482A" w:rsidRDefault="00253C22" w:rsidP="00253C22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253C22" w:rsidRDefault="00253C22" w:rsidP="00253C22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253C22" w:rsidRPr="003D22A5" w:rsidRDefault="00253C22" w:rsidP="00253C22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253C22" w:rsidRPr="00F97C06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253C22" w:rsidRPr="00EC2631" w:rsidRDefault="00253C22" w:rsidP="00253C22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253C22" w:rsidRPr="00EC2631" w:rsidRDefault="00253C22" w:rsidP="00253C22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253C22" w:rsidRPr="00EC2631" w:rsidRDefault="00253C22" w:rsidP="00253C22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Default="00253C22" w:rsidP="00253C22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253C22" w:rsidRPr="00EC2631" w:rsidRDefault="00253C22" w:rsidP="00253C22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</w:t>
      </w: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253C22" w:rsidRPr="00EC2631" w:rsidRDefault="00253C22" w:rsidP="00253C2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253C22" w:rsidRPr="00EC2631" w:rsidRDefault="00253C22" w:rsidP="00253C2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253C22" w:rsidRPr="00EC2631" w:rsidRDefault="00253C22" w:rsidP="00253C2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253C22" w:rsidRPr="00982AB5" w:rsidRDefault="00253C22" w:rsidP="00253C22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253C22" w:rsidRPr="00C934B5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253C22" w:rsidRPr="00F97C06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53C22" w:rsidRPr="00F97C06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(Пермский край, г. Пермь, ул. Рабоче – Крестьянская, д. 19, оф.1, тел. 8 (342) 20688 99)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3C22" w:rsidRPr="00EC2631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253C22" w:rsidRPr="000B1668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253C22" w:rsidRPr="004723A6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3,64 км.</w:t>
      </w: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3C22" w:rsidRPr="00F82559" w:rsidRDefault="00253C22" w:rsidP="00253C22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253C22" w:rsidRPr="00F82559" w:rsidRDefault="00253C22" w:rsidP="00253C2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253C22" w:rsidRPr="00F82559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C22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253C22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253C22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 w:cs="Times New Roman"/>
          <w:b/>
          <w:lang w:eastAsia="ru-RU"/>
        </w:rPr>
        <w:t>10.</w:t>
      </w:r>
    </w:p>
    <w:p w:rsidR="00253C22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253C22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253C22" w:rsidRPr="00800F5A" w:rsidRDefault="00253C22" w:rsidP="00253C22">
      <w:pPr>
        <w:pStyle w:val="a4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253C22" w:rsidRPr="00F82559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253C22" w:rsidRPr="00F82559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253C22" w:rsidRPr="00F82559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253C22" w:rsidRPr="00800F5A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253C22" w:rsidRPr="00F82559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3C22" w:rsidRPr="00F82559" w:rsidRDefault="00253C22" w:rsidP="00253C22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1037" w:rsidRPr="007A6831" w:rsidRDefault="001F1037" w:rsidP="001F1037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26.12.2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 г. с 09.00 час. (</w:t>
      </w:r>
      <w:bookmarkStart w:id="0" w:name="_GoBack"/>
      <w:bookmarkEnd w:id="0"/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F1037" w:rsidRPr="007A6831" w:rsidRDefault="001F1037" w:rsidP="001F1037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A683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19.01.2024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до 17:00 (по московскому времени)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F1037" w:rsidRPr="007A6831" w:rsidRDefault="001F1037" w:rsidP="001F1037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22.01.2024 г.</w:t>
      </w:r>
    </w:p>
    <w:p w:rsidR="001F1037" w:rsidRDefault="001F1037" w:rsidP="001F1037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23.01.2024</w:t>
      </w:r>
      <w:r w:rsidRPr="007A683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 в 10:00 (по московскому времени).</w:t>
      </w:r>
    </w:p>
    <w:p w:rsidR="00253C22" w:rsidRDefault="00253C22" w:rsidP="00253C22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253C22" w:rsidRDefault="00253C22" w:rsidP="00253C22">
      <w:pPr>
        <w:pStyle w:val="a4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3C22" w:rsidRPr="00B15F70" w:rsidRDefault="00253C22" w:rsidP="00253C22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253C22" w:rsidRPr="00390C76" w:rsidRDefault="00253C22" w:rsidP="00253C22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253C22" w:rsidRPr="00112BAD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253C22" w:rsidRDefault="00253C22" w:rsidP="00253C22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53C22" w:rsidRPr="00317E2D" w:rsidRDefault="00253C22" w:rsidP="00253C22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253C22" w:rsidRDefault="00253C22" w:rsidP="00253C22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253C22" w:rsidRDefault="00253C22" w:rsidP="00253C22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253C22" w:rsidRPr="006E157D" w:rsidRDefault="00253C22" w:rsidP="00253C22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3C22" w:rsidRPr="00085D58" w:rsidRDefault="00253C22" w:rsidP="00253C22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253C22" w:rsidRPr="00085D58" w:rsidRDefault="00253C22" w:rsidP="00253C22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253C22" w:rsidRPr="00085D58" w:rsidRDefault="00253C22" w:rsidP="00253C22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253C22" w:rsidRPr="00085D58" w:rsidRDefault="00253C22" w:rsidP="00253C22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253C22" w:rsidRPr="00085D58" w:rsidRDefault="00253C22" w:rsidP="00253C22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253C22" w:rsidRDefault="00253C22" w:rsidP="00253C22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253C22" w:rsidRPr="004436A4" w:rsidRDefault="00253C22" w:rsidP="00253C22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53C22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53C22" w:rsidRPr="00224D38" w:rsidRDefault="00253C22" w:rsidP="00253C22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53C22" w:rsidRPr="00224D38" w:rsidRDefault="00253C22" w:rsidP="00253C22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53C22" w:rsidRPr="00224D38" w:rsidRDefault="00253C22" w:rsidP="00253C22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53C22" w:rsidRPr="00224D38" w:rsidRDefault="00253C22" w:rsidP="00253C22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53C22" w:rsidRDefault="00253C22" w:rsidP="00253C22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53C22" w:rsidRDefault="00253C22" w:rsidP="00253C22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253C22" w:rsidRDefault="00253C22" w:rsidP="00253C22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53C22" w:rsidRPr="00224D38" w:rsidRDefault="00253C22" w:rsidP="00253C22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3C22" w:rsidRPr="006E157D" w:rsidRDefault="00253C22" w:rsidP="00253C22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Pr="00B4440F" w:rsidRDefault="00253C22" w:rsidP="00253C22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53C22" w:rsidRPr="00B4440F" w:rsidRDefault="00253C22" w:rsidP="00253C22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253C22" w:rsidRPr="00B4440F" w:rsidRDefault="00253C22" w:rsidP="00253C22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253C22" w:rsidRPr="00B4440F" w:rsidRDefault="00253C22" w:rsidP="00253C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253C22" w:rsidRPr="00B4440F" w:rsidRDefault="00253C22" w:rsidP="00253C22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253C22" w:rsidRPr="00B4440F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253C22" w:rsidRPr="00B4440F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253C22" w:rsidRPr="006241D1" w:rsidRDefault="00253C22" w:rsidP="00253C2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253C22" w:rsidRPr="00E72E00" w:rsidRDefault="00253C22" w:rsidP="00253C22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253C22" w:rsidRPr="005044A3" w:rsidRDefault="00253C22" w:rsidP="00253C22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53C22" w:rsidRPr="00597B6A" w:rsidRDefault="00253C22" w:rsidP="00253C22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253C22" w:rsidRPr="000C6E54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253C2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253C2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253C2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53C2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253C2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253C2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253C22" w:rsidRPr="00061452" w:rsidRDefault="00253C22" w:rsidP="00253C22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253C22" w:rsidRPr="005044A3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3C22" w:rsidRPr="005044A3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53C22" w:rsidRDefault="00253C22" w:rsidP="00253C22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52137" w:rsidRPr="00253C22" w:rsidRDefault="00C52137" w:rsidP="00253C22"/>
    <w:sectPr w:rsidR="00C52137" w:rsidRPr="0025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9D"/>
    <w:rsid w:val="001F1037"/>
    <w:rsid w:val="001F489D"/>
    <w:rsid w:val="00253C22"/>
    <w:rsid w:val="006D4FBD"/>
    <w:rsid w:val="00B115EA"/>
    <w:rsid w:val="00C52137"/>
    <w:rsid w:val="00F1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4F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4862</Words>
  <Characters>27719</Characters>
  <Application>Microsoft Office Word</Application>
  <DocSecurity>0</DocSecurity>
  <Lines>230</Lines>
  <Paragraphs>65</Paragraphs>
  <ScaleCrop>false</ScaleCrop>
  <Company/>
  <LinksUpToDate>false</LinksUpToDate>
  <CharactersWithSpaces>32516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6</cp:revision>
  <dcterms:created xsi:type="dcterms:W3CDTF">2023-10-02T11:28:00Z</dcterms:created>
  <dcterms:modified xsi:type="dcterms:W3CDTF">2023-12-12T13:33:00Z</dcterms:modified>
</cp:coreProperties>
</file>