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A51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18:30:000850:211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856BD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 w:rsidR="00EA5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3" w:type="dxa"/>
          </w:tcPr>
          <w:p w:rsidR="006E4BF7" w:rsidRDefault="006E4BF7" w:rsidP="006E4B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052C5" w:rsidRPr="000174DB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133 468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 тридцать три тысячи четыреста шестьдесят восемь) рублей</w:t>
            </w:r>
          </w:p>
          <w:p w:rsidR="00D640E7" w:rsidRPr="000174DB" w:rsidRDefault="00D640E7" w:rsidP="006E4B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6E4BF7" w:rsidRDefault="006E4BF7" w:rsidP="006E4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52C5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26 693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шесть тысяч шестьсот девяносто три) рубля</w:t>
            </w:r>
          </w:p>
          <w:p w:rsidR="00D640E7" w:rsidRPr="000174DB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60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052C5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4 004 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 тысячи четыре)</w:t>
            </w:r>
          </w:p>
          <w:p w:rsidR="00B052C5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рубля</w:t>
            </w:r>
          </w:p>
          <w:p w:rsidR="00D640E7" w:rsidRPr="000174DB" w:rsidRDefault="00B052C5" w:rsidP="00B05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 копейки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4BF7" w:rsidRDefault="006E4BF7" w:rsidP="006E4BF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11.08.2023 г.</w:t>
            </w:r>
          </w:p>
          <w:p w:rsidR="00D640E7" w:rsidRPr="00CF39E6" w:rsidRDefault="006E4BF7" w:rsidP="006E4BF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с 10.00 час.) по 06.09.2023 г. (до 17.00 час.)</w:t>
            </w: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6E4BF7" w:rsidP="006E4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12.09.2023 г. в 11.00 час.</w:t>
            </w: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6E4BF7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сетей: 0,23 кВ</w:t>
      </w:r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>в т.ч.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 w:rsidR="00EA5130">
        <w:rPr>
          <w:rFonts w:ascii="Times New Roman" w:eastAsia="Times New Roman" w:hAnsi="Times New Roman" w:cs="Times New Roman"/>
          <w:b/>
          <w:lang w:eastAsia="ru-RU"/>
        </w:rPr>
        <w:t>11.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F7" w:rsidRPr="00BE28AE" w:rsidRDefault="006E4BF7" w:rsidP="006E4BF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BE28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11.08.2023 г. с 10.00 час. (по московскому времени);</w:t>
      </w:r>
    </w:p>
    <w:p w:rsidR="006E4BF7" w:rsidRPr="00BE28AE" w:rsidRDefault="006E4BF7" w:rsidP="006E4BF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BE28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06.09.2023 г. до 17:00 (по московскому времени)</w:t>
      </w:r>
    </w:p>
    <w:p w:rsidR="006E4BF7" w:rsidRPr="00BE28AE" w:rsidRDefault="006E4BF7" w:rsidP="006E4BF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BE28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08.09.2023 г.</w:t>
      </w:r>
    </w:p>
    <w:p w:rsidR="006E4BF7" w:rsidRPr="00BE28AE" w:rsidRDefault="006E4BF7" w:rsidP="006E4BF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Pr="00BE28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12.09.2023 г. в 11:00 (по московскому времени).</w:t>
      </w:r>
    </w:p>
    <w:p w:rsidR="00011670" w:rsidRPr="006E4BF7" w:rsidRDefault="00A4270F" w:rsidP="006E4BF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E4BF7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E4BF7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 (ая)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18:30:000850:211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6E4BF7" w:rsidRDefault="006E4BF7" w:rsidP="006E4BF7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6E4BF7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355A83" w:rsidRDefault="00355A83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BD0">
        <w:rPr>
          <w:rFonts w:ascii="Times New Roman" w:eastAsia="Times New Roman" w:hAnsi="Times New Roman" w:cs="Times New Roman"/>
          <w:lang w:eastAsia="ru-RU"/>
        </w:rPr>
        <w:t>4.6</w:t>
      </w:r>
      <w:r>
        <w:rPr>
          <w:rFonts w:ascii="Times New Roman" w:eastAsia="Times New Roman" w:hAnsi="Times New Roman" w:cs="Times New Roman"/>
          <w:lang w:eastAsia="ru-RU"/>
        </w:rPr>
        <w:t>. С</w:t>
      </w:r>
      <w:r w:rsidRPr="00D640E7">
        <w:rPr>
          <w:rFonts w:ascii="Times New Roman" w:eastAsia="Times New Roman" w:hAnsi="Times New Roman" w:cs="Times New Roman"/>
          <w:lang w:eastAsia="ru-RU"/>
        </w:rPr>
        <w:t>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r w:rsidR="00355A83" w:rsidRPr="001C482A">
        <w:rPr>
          <w:rFonts w:ascii="Times New Roman" w:eastAsia="Times New Roman" w:hAnsi="Times New Roman" w:cs="Times New Roman"/>
          <w:lang w:eastAsia="ru-RU"/>
        </w:rPr>
        <w:t>позднее,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355A83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355A83" w:rsidRPr="001C482A" w:rsidRDefault="00355A83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lang w:eastAsia="ru-RU"/>
        </w:rPr>
        <w:t xml:space="preserve">приложение 3 – Схема прилегающей территории 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355A83" w:rsidRPr="001C482A" w:rsidRDefault="00355A83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="00355A83">
        <w:rPr>
          <w:rFonts w:ascii="Times New Roman" w:eastAsia="Times New Roman" w:hAnsi="Times New Roman" w:cs="Times New Roman"/>
          <w:lang w:eastAsia="ru-RU"/>
        </w:rPr>
        <w:t xml:space="preserve"> Гражданского К</w:t>
      </w:r>
      <w:bookmarkStart w:id="0" w:name="_GoBack"/>
      <w:bookmarkEnd w:id="0"/>
      <w:r w:rsidRPr="001C482A">
        <w:rPr>
          <w:rFonts w:ascii="Times New Roman" w:eastAsia="Times New Roman" w:hAnsi="Times New Roman" w:cs="Times New Roman"/>
          <w:lang w:eastAsia="ru-RU"/>
        </w:rPr>
        <w:t>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2B275E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30" w:rsidRDefault="00EA5130" w:rsidP="00CA3555">
      <w:pPr>
        <w:spacing w:after="0" w:line="240" w:lineRule="auto"/>
      </w:pPr>
      <w:r>
        <w:separator/>
      </w:r>
    </w:p>
  </w:endnote>
  <w:end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30" w:rsidRDefault="00EA5130" w:rsidP="00CA3555">
      <w:pPr>
        <w:spacing w:after="0" w:line="240" w:lineRule="auto"/>
      </w:pPr>
      <w:r>
        <w:separator/>
      </w:r>
    </w:p>
  </w:footnote>
  <w:foot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1D06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A83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03F98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3AE0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4BF7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052C5"/>
    <w:rsid w:val="00B1109F"/>
    <w:rsid w:val="00B1242F"/>
    <w:rsid w:val="00B1391C"/>
    <w:rsid w:val="00B15F70"/>
    <w:rsid w:val="00B420B3"/>
    <w:rsid w:val="00B4440F"/>
    <w:rsid w:val="00B607A2"/>
    <w:rsid w:val="00B64145"/>
    <w:rsid w:val="00B656D1"/>
    <w:rsid w:val="00B72108"/>
    <w:rsid w:val="00B73C1A"/>
    <w:rsid w:val="00B76DDE"/>
    <w:rsid w:val="00B85635"/>
    <w:rsid w:val="00B932C0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095C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A5130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670B-9A8A-4958-9E1E-0EF184BD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8323</Words>
  <Characters>47442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5</cp:revision>
  <cp:lastPrinted>2023-05-10T09:05:00Z</cp:lastPrinted>
  <dcterms:created xsi:type="dcterms:W3CDTF">2023-06-22T07:41:00Z</dcterms:created>
  <dcterms:modified xsi:type="dcterms:W3CDTF">2023-07-27T06:27:00Z</dcterms:modified>
</cp:coreProperties>
</file>